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обороны Российской Федерации (далее – истец) обратилось в Арбитражный суд города Москвы с иском к федеральному государственному унитарному предприятию «18 Центральный научно-исследовательский институт» Министерства обороны Российской Федерации (далее – ответчик) о взыскании 8 109 446 рублей неустойки за просрочку исполнения обязательств по государственному контракту от 17.05.2014 № 14/155/ОКР. Решением Арбитражного суда города Москвы от 13.03.2020 с ответчика в пользу истца взыскана неустойка в размере 103 880 рублей, в удовлетворении остальной части требований истцу отказано. Постановлением Девятого арбитражного апелляционного суда от 14.07.2020 решение суда первой инстанции изменено, с ответчика в пользу истца взыскана неустойка в размере 5 126 600 рублей, в удовлетворении остальной части требований истцу отказано. Арбитражный суд Московского округа постановлением от 21.10.2020 оставил без изменения постановление суда апелляционной инстанции. Ответчик обратился в Верховный Суд Российской Федерации с кассационной жалобой на указанные постановления суда апелляционной инстанции и суда округа, в которой просит их отменить. Письмом судьи Верховного Суда Российской Федерации от 18.01.2021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являясь исполнителем по заключенному с заказчиком - истцом государственному контракту на выполнение опытно-конструкторских работ, ответчик нарушил сроки исполнения обязательств по контракту, а именно: по этапам № 4, № 5, № 6 работы выполнены с нарушением срока, в связи с чем заказчик начислил неустойку в соответствующем размере и направил исполнителю претензии об уплате неустойки. Неисполнение ответчиком в добровольном порядке претензий заказчика об уплате начисленной суммы неустойки, послужило основанием для обращения истца в арбитражный суд с настоящим заявлением. Суд первой инстанции пришел к выводу о правомерности требований истца в части начисления неустойки в размере 103 880 рублей, с учетом пропуска срока давности на заявление требований о взыскании неустойки за просрочку выполнения работ по этапу № 4. Суд апелляционной инстанции не согласился с указанным выводом суда первой инстанции. Проанализировав условия контракта и установив обстоятельства, связанные с действиями сторон по исполнению контракта, суд апелляционной инстанции пришел к выводу о том, что допущенное исполнителем нарушение, выразившееся в несвоевременном выполнении работ, носит длящийся характер и окончено фактическим выполнением работ. В связи с этим неустойка представляет собой «текущую» меру ответственности, подлежащую начислению за каждый день просрочки исполнения обязательства, а, соответственно, срок исковой давности взыскания неустойки подлежит исчислению отдельно по каждому дню просрочки. Руководствуясь нормами Гражданского кодекса Российской Федерации, пунктом 25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 апелляционной инстанции пришел к выводу, что при определении периода неустойки, подлежащей взысканию, необходимо исходить из трехлетнего периода, предшествующего дате обращения в суд с иском. На основании изложенного, учитывая дату обращения истца с настоящими требованиями в суд, принимая во внимание дату фактического выполнения ответчиком работ, суд апелляционной инстанции признал правомерными требования истца о взыскании неустойки, начисленной за нарушение срока выполнения работ по этапу № 4 за период с 02.08.2016 по 28.12.2018, определив ее в размере 5 022 720 рублей и удовлетворив требования в этой части. Суд округа согласился с указанными выводами и оставил без изменения постановление суда апелляционной инстанции. Обжалуя постановления суда апелляционной инстанции и суда округа в Верховный Суд Российской Федерации, ответчик приводит доводы, которые являлись предметом рассмотрения судов и получили правовую оценку применительно к фактическим обстоятельствам, связанным с нарушением ответчиком условий контракта (срок выполнения работ), которое носит длящийся характер. Вывод судов соответствует правовой позиции, изложенной в определении Верховного Суда Российской Федерации от 14.07.2020 № 308-ЭС19-27287. Доводы ответчика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Приведенные в жалобе доводы ответчика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ответчика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Министерство обороны Российской Федерации (подробнее) Ответчики: ФГУП "18 Центральный научно-исследовательский институт" Министерства обороны Российской Федерации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