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23.03.2020, оставленным без изменения постановлением Семнадцатого арбитражного апелляционного суда от 12.08.2020 и постановлением Арбитражного суда Уральского округа от 22.10.2020, исковые требования удовлетворены. В кассационной жалобе завод просит о пересмотре судебных актов, ссылаясь на несоответствие их обстоятельствам дела и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Руководствуясь статьями 395, 486, 506 Гражданского кодекса Российской Федерации, суды удовлетворили иск по установленным фактам поставки истцом (поставщиком) товара в рамках договору от 13.06.2019 № 659-13/32/1379 и неполной оплаты его ответчиком (покупателем). Приведенные в рассматриваемой жалобе доводы направлены на ревизию установленных обстоятельств исполнения договора, не образующую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«Уральский завод транспортного машиностроения»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