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29.05.2020, оставленным без изменения постановлением Второго арбитражного апелляционного суда от 06.08.2020 и постановлением Арбитражного суда Волго-Вятского округа от 20.11.2020, заявление предпринимателя о взыскании с общества 48 450 рублей судебных расходов удовлетворено на сумму в 30 032 рубля 26 копеек. В кассационной жалобе общество просит о пересмотре судебных актов, указывая, что вопрос о возмещении судебных расходов уже был разрешен судом.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спорные расходы отличны от заявленных при предъявлении иска и не связаны с рассмотрением заявления о взыскании судебных расходов, поэтому не усмотрели оснований для прекращения производства по рассматриваемому заявлению.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«Объединенные электрические 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