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общество обратилось в суд с заявлением о включении в реестр требований кредиторов должника его требований в размере 1 791 697 рублей 80 копеек, как обеспеченного залогом имущества должника. Определением Арбитражного суда Нижегородской области от 27.01.2020 заявление удовлетворено. Постановлением Первого арбитражного апелляционного суда от 13.07.2020 вышеуказанное определение отменено в части признания требований общества залоговыми. Не согласившись с данным постановлением, заявитель обратился с кассационной жалобой. Определением Арбитражного суда Волго-Вятского округа от 23.10.2020, оставленным без изменения коллегиальным определением того же суда округа от 27.11.2020, кассационная жалоба возвращена заявителю на основании пункта 2 части 1 статьи 281 Арбитражного процессуального кодекса Российской Федерации, в связи с пропуском срока на кассационное обжалование и отказом в его восстановлении. В кассационной жалобе, поданной в Верховный Суд Российской Федерации, заявитель просит отменить коллегиальное определение суда округа 2 от 27.11.2020, восстановить срок кассационного обжалования постановления апелляционного суда от 13.07.2020.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Проверяя обоснованность возврата жалобы заявителя, судебная коллегия окружного суда, руководствуясь статьями 117, 188, 259, 276, 281, 291 Арбитражного процессуального кодекса Российской Федерации, пунктами 32, 34 постановления Пленума Высшего Арбитражного Суда Российской Федерации от 25.12.2013 № 99 «О процессуальных сроках», не установила нарушений норм процессуального права и согласилась с выводами об отсутствии уважительных причин для восстановления заявителю процессуального срока, к числу которых нельзя отнести отпуск руководителя и штатного юриста юридического лица, а также иные внутренние организационные проблемы заявителя. Обжалуемое определение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процессуального права,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«Энергия Сервис»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