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Гордиенко Пётр Александрович обратился в суд с заявлением о принятии обеспечительных мер в виде запрета Управлению Федеральной службы государственной регистрации, кадастра и картографии по Московской области на совершение регистрационных действий в отношении указанных в заявлении земельных участков должника и его внучки. Определением Арбитражного суда города Москвы от 10.08.2020 в удовлетворении заявления отказано. Постановлением Девятого арбитражного апелляционного суда от 16.10.2020, оставленным без изменения постановлением Арбитражного суда Московского округа от 16.12.2020,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принадлежащего ей земельного участка, определение суда первой инстанции в данной части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принимая обеспечительные меры в обжалуемой части, апелляционный суд руководствовался статьями 90, 92 Арбитражного процессуального кодекса Российской Федерации, пунктами 9 и 10 постановления Пленума Высшего Арбитражного Суда Российской Федерации от 12.10.2006 № 55 «О применении арбитражными судами обеспечительных мер», установил, что они соразмерны заявленным требованиям, обеспечивают баланс интересов сторон и служат гарантией сохранности включенных в неотменённое Положение о порядке, об условиях и сроках продажи объектов недвижимости, в отношении которых должником совершены действия по разделу и отчуждению в пользу заявителя.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Давыдовой Злате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