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Смоленской области от 17.07.2017 Ерзенкин М.А.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Смоленской области от 13.02.2020, оставленным без изменения постановлением Двадцатого арбитражного апелляционного суда от 28.07.2020 и Арбитражного суда Центрального округа от 23.10.2020, процедура реализации имущества должника завершена, Ерзенкин М.А. освобождён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за исключением требований, установленных законодательством Российской Федерации. В кассационной жалобе, поданной в Верховный Суд Российской Федерации, заявитель просит отменить указанные судебные акты в части отказа в её заявлении о неприменении к должнику правил об освобождении от исполнения обязательств перед ней как кредитором.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179 Гражданского кодекса Российской Федерации, статьёй 213.28 Федерального закона от 26.10.2002 № 127-ФЗ «О несостоятельности (банкротстве)», пунктами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отсутствия обстоятельств, препятствующих освобождению должника от дальнейшего исполнения обязательств ввиду недоказанности заведомо недобросовестного поведения указанного лица и злоупотребления своим правом, в том числе недоказанности признания недействительной сделки с заявителем как совершённой под влиянием обмана.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Колпаковой Валентине Фёдоровне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