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23.06.2020, оставленным без изменения постановлением 2 Тринадцатого арбитражного апелляционного суда от 06.10.2020, оспариваемое постановление изменено в части назначенного наказания, штраф снижен до 150 000 рублей. Постановлением Арбитражного суда Северо-Западного округа от 18.12.2020 указанные судебные акты оставлены без изменения. Общество просит обжалуемые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2 статьи 9.4 Кодекса Российской Федерации об административных правонарушениях предусмотрена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(изделий), которые повлекли отступление от проектных значений параметров зданий и сооружений, затрагивают конструктивные и другие характеристики надежности и безопасности объектов капитального строительства и (или) их частей или безопасность строительных конструкций, участков сетей инженерно- технического обеспечения, либо которые повлекли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растений, либо которые создали угрозу причинения вреда жизни или здоровью граждан, окружающей среде, жизни или здоровью животных и растений. 3 Оценив представленные доказательства, руководствуясь положениями Федерального закона от 30.12.2009 № 384-ФЗ «Технический регламент о безопасности зданий и сооружений», Градостроительного кодекса Российской Федерации, суды пришли к выводу о доказанности административным органом в действиях общества состава административного правонарушения, ответственность за которое предусмотрена частью 2 статьи 9.4 Кодекса Российской Федерации об административных правонарушениях, установив выполнение наружных стен 1 - 8 этажей здания не из газобетонных блоков, а из кирпича керамического пустотелого, изменение расположение проемов в стенах, что нарушает требования проектной документации, затрагивает конструктивные особенности объекта, влияет на его безопасность. Вина общества состоит в том, что им не были приняты все необходимые и достаточные меры для надлежащего исполнения возложенных на него обязанностей по соблюдению обязательных требований в области строительства. Судами проверены процедура и срок давности привлечения к административной ответственности, штраф снижен ниже низшего размера санкции нормы. Вопреки доводам жалобы, в статье 29.5 Кодекса Российской Федерации об административных правонарушениях правило о месте совершения правонарушения закреплено в целях определения компетенции юрисдикционного органа, а не в целях рассмотрения дела по месту конкретного выявления правонарушения. В жалобе общество не отрицает, что дело рассмотрено административным органом с соблюдением его территориальной компетенции.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