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02.10.2018, оставленным без изменения постановлением Девятого арбитражного апелляционного суда от 11.12.2018, в иске отказано. 2 Постановлением Арбитражного суда Московского округа от 29.05.2019 указанные судебные акты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05.02.2020, дополнительным решением Арбитражного суда города Москвы от 04.03.2020, иск удовлетворен, распределены судебные расходы. Постановлением Девятого арбитражного апелляционного суда от 19.06.2020 указанные решение и дополнительное решение суда первой инстанции оставлены без изменения. Постановлением Арбитражного суда Московского округа от 22.10.2020 принятые при новом рассмотрении дела судебные акты оставлены без изменения. Ответчик просит отменить обжалуемые судебные акты,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330, 401, 404, 708, 716, 763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что работы выполнены надлежащим образом, в связи с чем решение ответчика об одностороннем расторжении контракта не может быть признано законным, с ответчика в пользу истца взыскана стоимость выполненных работ по текущему ремонту. Доводы кассационной жалобы направлены на переоценку фактических обстоятельств, установленных судами, были предметом исследования судов и получили исчерпывающую правовую оценку, не согласиться с которой оснований не имеется.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