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Крым от 07.02.2020, оставленным без изменения постановлением Двадцать первого арбитражного апелляционного суда от 09.07.2020, в удовлетворении требований отказано. Постановлением Арбитражного суда Центрального округа от 28.10.2020 указанные судебные акты оставлены без изменения. Предприниматель обратился в Верховный Суд Российской Федерации с кассационной жалобой, в которой просит состоявшиеся по делу судебные акты отменить, считая их принятыми с нарушением норм материального и процессуального права.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послужили выводы административного органа о нарушении правил пересечения Государственной границы Российской Федерации рыболовным судном, не направившим пограничным органам уведомление в связи с изменением сведений, указанных в ранее поданном уведомлении о намерении осуществлять неоднократное пересечение государственной границы. 3 Частью 1 статьи 18.1 Кодекса Российской Федерации об административных правонарушениях установлена административная ответственность за нарушение правил пересечения Государственной границы Российской Федерации лицами и (или) транспортными средствами либо за нарушение порядка следования таких лиц и (или) транспортных средств от Государственной границы Российской Федерации до пунктов пропуска через Государственную границу Российской Федерации и в обратном направлении, за исключением случаев, предусмотренных статьей 18.5 указанного Кодекса. Оценив представленные доказательства, руководствуясь положениями Закона Российской Федерации от 01.04.1993 № 4730-1 «О Государственной границе Российской Федерации», Правил уведомления пограничных органов федеральной службы безопасности о намерении осуществлять неоднократное пересечение государственной границы Российской Федерации на море российскими судами, утвержденных постановлением Правительства Российской Федерации от 28.03.2019 № 341, суды пришли к выводу о наличии состава вменяемого административного правонарушения, ответственность за которое предусмотрена частью 1 статьи 18.1 Кодекса Российской Федерации об административных правонарушениях. Суды указали, что процедура привлечения к административной ответственности не нарушена, срок давности привлечения к ответственности соблюден, оснований для применения положений статей 2.9 и 4.1.1 Кодекса Российской Федерации об административных правонарушениях не имеется. Доводы жалобы были предметом рассмотрения судов и получили исчерпывающую правовую оценку,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