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ходатайством об истребовании у конкурсного управляющего должником Цветкова Евгения Анатольевича сведений о контролирующем должника лице – Воробьеве Константине Валерьевиче, а также договоров купли-продажи трёх транспортных средств с доказательствами их оплаты. Определением Арбитражного суда города Москвы от 05.06.2020, оставленным без изменения постановлениями Девятого арбитражного апелляционного суда от 20.08.2020 и Арбитражного суда Московского округа от 12.11.2020, в удовлетворении ходатайства отказано. В кассационной жалобе, поданной в Верховный Суд Российской Федерации, заявитель просить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ходатайства, суд первой инстанции руководствовался статьями 32, 60, 124 Федерального закона от 26.10.2002 № 127-ФЗ «О несостоятельности (банкротстве)» и не установил оснований для возложения на конкурсного управляющего обязанностей по передаче сведений и документов, которые не переданы бывшим руководителем должника и фактически отсутствуют, в том числе не конкретизированных самим кредитором. С указанными выводами впоследствии согласились суды апелляционной инстанции и округа, указав на отсутствие доказательств незаконности действий конкурного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«Мирлион»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