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13.03.2020, оставленным без изменения постановлением Девятого арбитражного апелляционного суда от 10.08.2020, в удовлетворении требований отказано. Постановлением Арбитражного суда Московского округа от 17.11.2020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осуществления предпринимателем хранения санкционных продуктов. Оценив представленные доказательства, руководствуясь положениями Таможенного кодекса Евразийского экономического союза, Постановления Правительства Российской Федерации от 07.08.2014 № 778 «О мерах по реализации указов Президента Российской Федерации от 06.08.2014 № 560, от 24.06.2015 № 320, от 29.06.2016 № 305, от 30.06.2017 № 293 и от 12.07.2018 № 420, от 24.06.2019 № 293», суды пришли к выводу о доказанности 3 административным органом в действиях предпринимателя состава административного правонарушения, предусмотренного статьей 16.21 Кодекса Российской Федерации об административных правонарушениях, признав, что предприниматель осуществлял хранение товаров, которые незаконно ввезены на территорию РФ и в отношении которых не соблюден, установленный нормативными правовыми актами РФ запрет на ввоз товаров на территорию РФ. Суды признали, что процедура привлечения к административной ответственности не нарушена, вина установлена. Оснований для применения положений статьи 2.9 Кодекса Российской Федерации об административных правонарушениях не выявлено. Обстоятельств, свидетельствующих о том, что доказательства по делу об административном правонарушении получены вне процессуального порядка, установленного Кодексом Российской Федерации об административных правонарушениях, или с его нарушением, судами не установлено. Предприниматель не отрицает, что в протоколе зафиксированы в соответствии с положениями статьи 28.2 Кодекса Российской Федерации об административных правонарушениях основные сведения, отражающие сущность совершенного правонарушения и характеризующие лицо, привлекаемое к ответственности. Административное наказание назначено в соответствии с санкцией статьи 16.21 Кодекса Российской Федерации об административных правонарушениях, размер штрафа рассчитан в соответствии с заключением эксперта, не опровергнутым при рассмотрении дела.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