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18.06.2020, оставленным без изменения постановлением Двенадцатого арбитражного апелляционного суда от 28.08.2020, в иске отказано. Постановлением Арбитражного суда Поволжского округа от 19.11.2020 указанные судебные акты оставлены без изменения. Предприниматель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711 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признав, что результат выполненных работ не соответствовал требованиям муниципального контракта и сам по себе не имел потребительской ценности для заказчика. Доводы жалобы были предметом исследования судов и получили исчерпывающую правовую оценку, в том числе, с учетом установленного объекта закупки,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Гогорян Сергей Самвелович (подробнее) Ответчики: Управление по капитальному строительству администрации муниципального образования "Город Астрахань" (подробнее) Иные лица: Автономная некоммерческая организация "Астраханский центр экспертизы" Бондаренко Г.В.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