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21.05.2020, оставленным без изменения постановлением Девятого арбитражного апелляционного суда от 07.09.2020, иск оставлен без рассмотрения. Постановлением Арбитражного суда Московского округа от 29.10.2020 указанные судебные акты оставлены без изменения. Фонд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статьи 148 Арбитражного процессуального кодекса Российской Федерации, Федерального закона от 01.04.1996 № 27-ФЗ «Об индивидуальном (персонифицированном) учете в системе обязательного пенсионного страхования», правовой позицией, изложенной в пункте 7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(в ред. 26.12.2018), суды оставили иск без рассмотрения, признав, что нарушение было допущено должником до даты возбуждения в отношении него производства по делу о банкротстве, в связи с чем требование нельзя признать текущим и оно подлежит рассмотрению в рамках дела о банкротстве. Доводы жалобы были предметом исследования судов и получили исчерпывающую правовую оценку в обжалуемых судебных актах исходя из того, что вмененное правонарушение, выразившееся в непредставлении в установленные сроки индивидуальных сведений, не может быть отнесено к категории длящихся, не согласиться с которым, исходя из доводов жалобы, оснований не имеется.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