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07.05.2020 в удовлетворении требований отказано. Постановлением Шестнадцатого арбитражного апелляционного суда от 06.08.2020 решение суда первой инстанции отменено, требования удовлетворены. Постановлением Арбитражного суда Северо-Кавказского округа от 12.11.2020 постановление суда апелляционной инстанции оставлено без изменения. Общество «Дагестанстрой», привлеченное к участию в деле в качестве третьего лица, не заявляющего самостоятельных требований относительно предмета спора, обратилось в Верховный Суд Российской Федерации с кассационной жалобой, в которой просит обжалуемые судебные акты отменить, считая их незаконными и необоснованными. Исходя из доводов жалобы и принятых по делу судебных актов, оснований для удовлетворения жалобы не установлено. Руководствуясь положениями статей 10, 449 Гражданского кодекса Российской Федерации, статей 83,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 апелляционной инстанции удовлетворил требования, не установив оснований для проведения запроса предложений на выполнение строительно-монтажных работ при наличии действующего контракта на аналогичные работы. Доводы кассационной жалобы были предметом исследования судов и получили исчерпывающую правовую оценку с учетом установленных судом обстоятельств отсутствия оснований для одностороннего отказа от контракта,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