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01.11.2019 иск удовлетворен. Постановлением Четвертого арбитражного апелляционного суда от 03.07.2020 решение суда первой инстанции отменено, в иске отказано. 2 Постановлением Арбитражного суда Восточно-Сибирского округа от 02.11.2020 постановление суда апелляционной инстанции отменено, решение суда первой инстанции оставлено в силе. Общество «Бурятпроектреставрация» обратилось в Верховный Суд Российской Федерации с кассационной жалобой, в которой просит постановление суда округа отменить, оставить в силе решение суда апелляционной инстанции. Исходя из доводов жалобы и принятых по делу судебных актов оснований для удовлетворения жалобы не установлено. Отменяя постановление суда апелляционной инстанции и оставляя в силе решение суда первой инстанции, суд округа руководствовался положениями статьи 449 Гражданского кодекса Российской Федерации,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 исходил из установленных судом первой инстанции обстоятельств, свидетельствующих о том, что истцом доказано нарушение оспариваемым контрактом публичных интересов, избранный способ защиты приведет к восстановлению защищаемых публичных интересов, без учета которых суд апелляционной инстанции принял свое постановление. Доводы кассационной жалобы были предметом исследования судов первой и кассационной инстанций с учетом положений статей 7 и 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