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общества с ограниченной ответственностью «ТК-ПРЕСС», «Красная горка» и ФИО1 обратились в суд с заявлениями, объединёнными в одно производство для совместного рассмотрения, о включении в реестр требований кредиторов должника их требований в размерах 2 986 626 рублей 71 копейка, 4 672 788 рублей 32 копейки и 13 647 814 рублей 66 копеек, соответственно. Определением Арбитражного суда Новосибирской области от 17.05.2019, оставленным без изменения постановлениями Седьмого арбитражного апелляционного суда от 30.08.2019 и Арбитражного суда Западно-Сибирского округа от 27.01.2020, заявления оставлены без удовлетворения. В кассационной жалобе, поданной в Верховный Суд Российской Федерации, заявитель просит полностью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не усмотрели законных оснований для включения требований аффилированных с должником лиц, не раскрывших экономическое обоснование предоставления займов, в реестр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"Красная строка" (подробнее) ООО "ТК-пресс" (подробнее) Иные лица: ГУ ГИБДД МВД (подробнее) ООО "ГОРОДСКОЙ ЦЕНТР МЕДОСМОТРА" (подробнее) Финансовый управляющий Филонов В.И.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