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11.02.2020, оставленным без изменения постановлением Девятого арбитражного апелляционного суда от 21.07.2020 и постановлением Арбитражного суда Московского округа от 28.10.2019, заявленные требования удовлетворены. В кассационной жалобе, поданной в Верховный Суд Российской Федерации, фонд,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Росимущество в своей кассационной жалобе, также ссылаясь на нарушение судами норм права, просит отменить названные судебные акты и принять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2, 8 Гражданского кодекса Российской Федерации, положениями Федерального закона от 30.11.2010 № 327-ФЗ «О передаче религиозным организациям имущества религиозного назначения, находящегося в государственной или муниципальной собственности» (далее - Закон № 327-ФЗ), постановления Правительства Российской Федерации от 26.04.2011 № 325 «О перечне документов, обосновывающих право религиозной организации на получение имущества религиозного назначения, находящегося в государственной или муниципальной собственности, и порядке их выдачи», пришли к выводу о наличии оснований для удовлетворения заявленных требований. В частности, суды исходили из следующего: материалами дела подтверждено, что здание было построено на земельном участке, принадлежащем монастырю, за счет средств монастыря, находилось в собственности монастыря и в нем имелись квартиры, построенные для сдачи 3 монастырем внаем для получения дохода в целях обеспечения совершения богослужений и монашеской жизнедеятельности, следовательно, здание относится к имуществу религиозного назначения, поскольку было построено для обеспечения таких видов деятельности религиозных организаций как монашеская жизнедеятельность, и полностью отвечает требованиям пункта 1 статьи 2 Закона № 327-ФЗ; так как здание имеет религиозное назначение, спорные помещения, находящиеся в нем, также имеют такое же назначение по смыслу Закона № 327-ФЗ и, учитывая, что современная техническая документация на здание и спорные помещения не может использоваться в качестве доказательства, подтверждающего назначение данных объектов в целях применения Закона № 327-ФЗ, а современные цели использования здания не имеют правового значения по смыслу названного закона, принимая во внимание, что фонд как ссудополучатель был уведомлен организацией о подаче в департамент заявления о передаче занимаемых им помещений в его собственность, департамент и Росимущество не имели законных оснований для отказа заявителю в передаче спорных помещений. С указанными выводами впоследствии согласился суд округа. Доводы кассационных жалоб не свидетельствуют о допущенных судами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Регионального общественного фонда поддержки и развития отечественной литературы «Новый мир» и Федерального агентства по управлению государственным имуществом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