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без рассмотрения по существу письмом Верховного Суда Российской Федерации от 01.02.2021 на основании пункта 1 части 1 статьи 291.5 Арбитражного процессуального кодекса Российской Федерации в связи с нарушением требований при подаче жалобы (отсутствие документов, подтверждающих уплату государственной пошлины).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12.02.2021,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указанным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А33-34101/2018 является постановление Арбитражного суда Восточно-Сибирского округа от 25.11.2020, вступившее в законную силу, согласно части 5 статьи 289 АПК РФ, со дня его принятия – 25.11.2020, следовательно, двухмесячный срок на подачу кассационной жалобы истек 25.01.2021.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ненадлежащая первоначальная подача кассационной жалобы и последующая уплата государственной пошлины 09.02.2021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«Сибирский соболь» в удовлетворении ходатайства о восстановлении пропущенного процессуального срока подачи кассационной жалобы на постановление Третьего арбитражного апелляционного суда от 09.07.2020 и постановление Арбитражного суда Восточно-Сибирского округа от 25.11.2020 по делу № А33-34101/2018 Арбитражного суда Красноярского края. Жалобу общества с ограниченной ответственностью «Сибирский соболь»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