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28.01.2020, оставленным без изменения постановлением Тринадцатого арбитражного апелляционного суда от 29.06.2020 и постановлением Арбитражного суда Северо-Западного округа от 22.10.2020, с компании в пользу общества взыскано 5 038 162 руб. неотработанного аванса, 855 273 руб. 76 коп. пеней, 16 046 руб. 20 коп. процентов за пользование чужими денежными средствами за период с 22.04.2019 по 06.05.2019 с последующим доначислением процентов по день фактической уплаты, в удовлетворении остальной части первоначальных требований и в удовлетворении встречного иска отказано.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несоответствие их выводов фактическим обстоятельствам дела, просит отменить указанные судебные акты и принять новый судебный акт об отказе в удовлетворении первоначальных исковых требований и удовлетворении встречного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обществом в пользу компании авансового платежа в рамках договора подряда от 27.08.2018 № 1, прекращения названного договора ввиду одностороннего отказа общества от его исполнения, отсутствие доказательств выполнения компанией работ либо возврата суммы полученного ею аванса, руководствуясь статьями 309, 310, 329, 330, 395, 450, 450.1, 746, 453, 702, 708, 711, 720, 715, 753, 1102 Гражданского кодекса Российской Федерации, суды первой и апелляционной инстанций пришли к выводу о наличии оснований для удовлетворения первоначальных исковых требований (с учетом произведенной корректировки расчета пеней) и отказа в удовлетворении встречного иска. С указанными выводами впоследствии согласился суд округа. Доводы кассационной жалобы не опровергают выводы судов и не подтверждают существенных нарушений судами норм материального и процессуального права, повлиявших на исход дела. По существу 3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«Балтийская инженерно-монтажная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