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«ТНП» обратилось в Арбитражный суд города Москвы с иском о взыскании с общества с ограниченной ответственностью «Тоймикс» 1 025 000 рублей задолженности по договору поставки от 13.08.2019 № 233-19, 85 075 рублей неустойки за период с 21.11.2019 по 11.02.2020, с последующим ее начислением до момента фактического исполнения обязательств по оплате задолженности и 122 082 рублей 56 копеек расходов на оплату услуг представителя. Решением Арбитражного суда города Москвы от 09.04.2020 иск удовлетворен. Постановлением Девятого арбитражного апелляционного суда от 01.09.2020 решение суда первой инстанции оставлено без изменения. Арбитражный суд Московского округа постановлением от 14.12.2020 указанные судебные акты отменил и направил дело на новое рассмотрение в Арбитражный суд города Москвы. Общество с ограниченной ответственностью «ТНП» обратилось в Судебную коллегию по экономическим спорам Верховного Суда Российской 2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«ТНП»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