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«Аврора РусКо» (далее – общество, арендатор) обратилось в суд с заявлением о включении в реестр требований кредиторов должника (далее – реестр) задолженности в размере 988 685 рублей, возникшей в связи с неисполнением должником как арендодателем обязанности по возврату обеспечительного платежа по предварительному договору от 30.09.2014 № 001-Б-1-П. Определением Арбитражного суда города Москвы от 25.02.2020 в удовлетворении заявления отказано. Постановлением Девятого арбитражного апелляционного суда от 07.07.2020, оставленным без изменения постановлением Арбитражного суда Московского округа от 21.10.2020, вышеуказанное определение отменено, требование общества включено в третью очередь реестра.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включая требование общества в реестр, апелляционный суд руководствовался статьями 196, 200, 429, 381.1, 431, 1102, 1109 Гражданского кодекса Российской Федерации,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применительно к конкретным фактическим обстоятельствам спора признал ошибочными, основанными на неправильном применении норм материального права, содержащиеся в нём выводы о пропуске обществом срока исковой давности.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Несогласие заявителя с изложенными в обжалуемых судебных актах выводами судов, основанными на установленных фактических обстоятельствах дела и оценке доказательств, не свидетельствует о неправильном применении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компании с ограниченной ответственностью «Парагон Констракшн Лимитед»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