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жалобой на действия бывшего конкурного управляющего должником Дениса И.И., выразившиеся: – в нарушении очередности удовлетворения требований кредиторов по текущим платежам, предусмотренной положениями пункта 2 статьи 134 Федерального закона от 26.10.2002 № 127-ФЗ «О несостоятельности (банкротстве)» (далее – Закон о банкротстве), пункта 41.1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№296-ФЗ «О внесении изменений в Федеральный закон «О несостоятельности (банкротстве)», статьи 226 Налогового кодекса Российской Федерации; – в нарушении порядка расходования денежных средств, поступивших от реализации залогового имущества, предусмотренного пунктом 6 статьи 138 Закона о банкротстве; – в необоснованном перечислении денежных средств в размере 539 339 рублей 80 копеек в нарушение норм статей 20.3, 20.7 Закона о банкротстве; – в необеспечении мер по поиску и сохранности имущества должника, в частности в непринятии своевременных мер по поиску автомобилей 2 AUDI Q7 VINWAUZZZ4L69D036557 2009 года выпуска и AUDI Q7 VINWAUZZZ4L69D036509 2009 года выпуска, принадлежащих на праве собственности должнику. Уполномоченный орган также просил взыскать с арбитражного управляющего Дениса И.И. в пользу должника излишне выплаченное вознаграждение в размере 90 000 рублей и убытки в размере 2 043 719 рублей 93 копейки. Определением Арбитражного суда Орловской области от 18.02.2020, оставленным без изменения постановлениями Девятнадцатого арбитражного апелляционного суда от 29.07.2020 и Арбитражного суда Центрального округа от 19.10.2020, заявленные требования удовлетворены.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Орловской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статьёй 15 Гражданского кодекса Российской Федерации, статьями 20.3, 20.4, 20.7, 60, 134, 138 Закона о банкротстве, учитывали ранее установленную по иному обособленному спору противоправность поведения заявителя и исходя конкретных фактических обстоятельств признали доказанными наличие вменяемых последнему нарушений законодательства о несостоятельности, прав и законных интересов должника и кредиторов, размер заявленных убытков и оснований для их взыскания в пользу должника.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Денису Игорю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