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Оренсал» обратилось в суд с заявлением о включении в реестр требований кредиторов должника (далее – реестр) его требований в размере 48 679 432 рублей 79 копеек основного долга по договорам займа и 10 715 835 рублей 62 копеек процентов за пользование займами. Определением Арбитражного суда Оренбургской области от 27.01.2020, оставленным без изменения постановлениями Восемнадцатого арбитражного апелляционного суда от 29.07.2020 и Арбитражного суда Уральского округа от 21.10.2020, заявление удовлетворено. В кассационных жалобах, поданных в Верховный Суд Российской Федерации, заявители просят изменить мотивировочную часть постановления суда округа, исключив из неё вывод о том, что общество «ГПДУ» входит в группу компаний, контролируемых Левиным С.Ю. (абзац первый страница 4); в остальной части указанный судебный акт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Оставляя в силе принятые по спору судебные акты, суд округа руководствовался статьёй 71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согласился с приведёнными в них выводами о наличии оснований для включения заявленных требований в реестр.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выводов, а также исключения из содержания обжалуемого судебного акта поименованного заявителями вывода соответствующего содержания не имеется.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Левину Сергею Юрьевичу и обществу с ограниченной ответственностью «Оренсал»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