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06.03.2020 в удовлетворении иска отказано вследствие истечения срока исковой давности и недобросовестности истца при исполнении договора лизинга. Девятый арбитражный апелляционный суд постановлением от 09.09.2020 отменил решение от 06.03.2020 и удовлетворил иск. Арбитражный суд Московского округа постановлением от 07.12.2020 постановление Девятого арбитражного апелляционного суда от 09.09.2020 оставил без изменения. В кассационной жалобе общество «Волгабурмаш» просит об отмене судебных актов апелляционного и окружного судов, ссылаясь на неполное исследование фактических обстоятельств дела и истечение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прекращение договора лизинга от 15.05.2013 № 102/2013 с момента истечения установленного им срока после направления истцом требования о расторжении договора и возврате предмета лизинга и неистечение срока исковой давности, исчисляемого с момента расторжения договора по правилу статьи 200 Гражданского кодекса Российской Федерации. Задолженность по лизинговым платежам не влечет автоматического прекращения договора лизинга. Прекращение договора по отличному от расторжения основанию суд не установил.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«Волгабурмаш»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