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25.02.2020, оставленным без изменения постановлением Девятого арбитражного апелляционного суда от 11.06.2020, в удовлетворении исков отказано. Арбитражный суд Московского округа постановлением от 14.10.2020 решение от 25.02.2020 и постановление Девятого арбитражного апелляционного суда от 11.06.2020 оставил без изменения. 2 В кассационной жалобе общество просит об отмене судебных актов, ссылаясь на принятие их в отношении не участвовавших в деле лиц, неправильной квалификации правоотношений и неосновательного признания злоупотребления истцом правами.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правоотношения сторон и установили, что комплекс был создан для осуществления совместной деятельности, а перечисление в качестве вклада участвовавшим в ней обществом денежных средств прикрывалось оформлением договоров займа, которые изначально не исполнялись комплексом. Установленные обстоятельства заключения договоров займа признаны образующими условия для констатации ничтожности договоров силу пункта 2 статьи 170 Гражданского кодекса Российской Федерации. Довод общества о неучастии в совместной деятельности опровергается установленными обстоятельствами. Доводу о принятии судебных актов в отношении не привлеченных к участию в деле других участников спорных правоотношений мотивированно оценен окружным судом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«Ленхард Девелопмент»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