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«Станформа» удовлетворить. Срок подачи кассационной жалобы на решение Арбитражного суда Челябинской области от 24.03.2020, постановление Восемнадцатого арбитражного апелляционного суда от 09.06.2020 и постановление Арбитражного суда Уральского округа от 28.08.2020 по тому же делу восстановить. Судья Верховного Суда Российской Федерации Е.Н. Зарубина Суд: Верховный Суд РФ (подробнее) Истцы: ООО "СтанФорма" (подробнее) Ответчики: ООО "ОСНОВНОЙ ПОСТАВЩИК"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