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«Свайные технологии» обратилось в Арбитражный суд Свердловской области с иском, уточненным в порядке статьи 49 Арбитражного процессуального кодекса Российской Федерации, о взыскании с общества с ограниченной ответственностью Строительная компания «Континент» 2 400 000 рублей убытков в виде упущенной выгоды. Решением Арбитражного суда Свердловской области от 09.12.2019 в удовлетворении иска отказано. Постановлением Семнадцатого арбитражного апелляционного суда от 09.06.2020 решение суда первой инстанции оставлено без изменения. Арбитражный суд Уральского округа постановлением от 09.11.2020 указанные судебные акты оставил без изменения. 2 Общество с ограниченной ответственностью «Свайные технологии»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статей 65, 71 Арбитражного процессуального кодекса Российской Федерации, руководствуясь положениями статей 15, 393 Гражданского кодекса Российской Федерации, суды пришли к выводу о недоказанности истцом наличия совокупности оснований, необходимых для привлечения ответчика к имущественной ответственности в виде возмещения убытков, недоказанности противоправности действий ответчика, удержания им имущества истца, неисполнения требований о возврате имущества.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«Свайные технологии»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