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Федеральная налоговая служба обратилась в суд с заявлением о принятии обеспечительных мер в отношении имущества должника (нематериальных активов) в виде: запрета любым лицам, включая Федеральную службу по интеллектуальной собственности (Роспатент), осуществлять любые действия, направленные на изменение текущего регистрационного статуса товарных знаков № 317645, 331683, 346351, 340810, 457288, 457960, 458017, 346280 (в том числе связанные с регистрацией действий любых лиц по отчуждению, обременению, предоставлению, переходу без договора исключительных и неисключительных прав на указанные товарные знаки и права использования, переданные по лицензии и сублицензии); запрета Федеральной службе по интеллектуальной собственности (Роспатент) вносить в Государственный реестр товарных знаков и знаков обслуживания Российской Федерации записи о досрочном прекращении правовой охраны товарных знаков № 317645, 331683, 346351, 340810, 457288, 457960, 458017, 346280. Определением Арбитражного суда Новгородской области от 21.04.2020, оставленным без изменения постановлениями Четырнадцатого арбитражного 2 апелляционного суда от 25.06.2020 и Арбитражного суда Северо-Западного округа от 02.11.2020, приняты вышеуказанные обеспечительные меры. В кассационных жалобах, поданных в Верховный Суд Российской Федерации, заявители выражают своё несогласие с указанными судебными актами.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Удовлетворяя заявление, суд первой инстанции, руководствуясь положениями статей 90 и 91 Арбитражного процессуального кодекса Российской Федерации, статьи 46 Федерального закона от 26.10.2002 № 127-ФЗ «О несостоятельности (банкротстве)», исходил из доказанности необходимости принятия указанных обеспечительных мер, а также направленности мер на соблюдение законных интересов кредиторов должника, полноты формирования конкурсной массы и обеспечение баланса интересов заинтересованных сторон посредством сохранения существующего состояния отношений.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по доводам жалоб не имеется. Нарушений норм права, влекущих за собой безусловную отмену указанных судебных актов, судами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«Сити Инвест Банк» и компании «Апэтраст Холдингс Лимитед»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