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27.02.2020 первоначальные и встречные исковые требования удовлетворены. Постановлением Семнадцатого арбитражного апелляционного суда от 14.07.2020 решение суда первой инстанции изменено. Исковые требования по первоначальному иску удовлетворены частично, с общества в пользу компании взыскано 4 758 312 руб. 20 коп. убытков, а также 31 388 руб. 27 коп. в возмещение расходов по уплате государственной пошлины, понесенных при подаче иска, в удовлетворении остальной части исковых требований компании отказано. Исковые требования по встречному иску удовлетворены, с компании в пользу общества взыскано 6 925 843 руб. 20 коп., в том числе: 6 720 204 руб. 93 коп. основного долга и 205 638 руб. 27 коп. неустойки, начисленной за период с 01.07.2019 по 10.10.2019, с ее последующим начислением по день фактической оплаты задолженности, а также 57 629 руб. в возмещение расходов по уплате государственной пошлины, понесенных при подаче иска. В результате зачета первоначальных и встречных исковых требований с компании в пользу общества взыскано 2 167 531 руб., а также 26 240 руб. 73 коп. в возмещение расходов по уплате государственной пошлины. В остальной части решение суда оставлено без изменения. В кассационной жалобе, поданной в Верховный Суд Российской Федерации, компания, ссылаясь на нарушение судами апелляционной и кассационной инстанций норм материального права, просит отменить их постановления и оставить в силе решение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Суд апелляционной инстанции, с которым согласился суд округа, руководствуясь статьями 15 , 393 , 421 Гражданского кодекса Российской Федерации, разъяснениями, приведенными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 учетом всех обстоятельств, оценки представленных в материалы дела доказательств, установив период просрочки выполнения работ по вине общества, определив размер убытков, пришел к выводу о наличии оснований для частичного удовлетворения требований компании. В обжалуемых судебных актах приведены подробные мотивы, по которым суды пришли к такому выводу, с указанием на конкретные обстоятельства и доказательства, исследованные и оцененные по правилам статьи 71 Арбитражного процессуального кодекса Российской Федерации. Доводы кассационной жалобы по существу сводятся к иной оценке доказательств и установленных фактических обстоятельств спора и не подтверждают существенных нарушений судами норм материального и (или) процессуального права, в связи с чем оснований для пересмотра судебных актов в Судебной коллегии Верховного Суда Российской Федерации не имеется.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«Территориальная генерирующая компания № 14»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ПАО Территориальная генерирующая компания №14 (подробнее) Ответчики: АО УРАЛЬСКИЙ ТУРБИННЫЙ ЗАВОД (подробнее) Иные лица: АО Администратор торговой системы оптового рынка электроэнергии (подробнее) ООО "Турбоэнергоремонт"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