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с кассационной жалобой на судебные акты, принятые в порядке упрощенного производства. Пунктом 2 части 1 статьи 291.5 Арбитражного процессуального кодекса Российской Федерации предусмотрено, что кассационная жалоба, поданная на судебный акт, который в соответствии с данным Кодексом не обжалуется в порядке кассационного производства, подлежит возвращению без рассмотрения по существу. Частью 3 статьи 291.1 Арбитражного процессуального кодекса Российской Федерации исключена возможность обжалования в Судебную 2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Обжалуемое постановление от 19.11.2020 относится к их числу. Учитывая, что жалоба не подлежит рассмотрению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индивидуального предпринимателя Васина Д.С. на решение Арбитражного суда Республики Татарстан от 28.05.2020 по делу № А65-6581/2020, постановление Одиннадцатого арбитражного апелляционного суда от 01.09.2020 и постановление Арбитражного суда Поволжского округа от 19.11.2020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