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28.02.2020, оставленным без изменения постановлением Тринадцатого арбитражного апелляционного суда от 25.06.2020, в иске отказано. Арбитражный суд Северо-Западного округа постановлением от 22.10.2020 решение от 28.02.2020 и постановление Тринадцатого арбитражного апелляционного суда от 25.06.2020 оставил без изменения. В кассационной жалобе общество просит об отмене судебных актов, ссылаясь на неправильное толкование условий договора о распределении обязанности по несению расходов на оплату ремонта вагонов.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Исходя из системного анализа содержания пунктов 3.4, 3.5 договора аренды подвижного состава от 14.03.2016 № ТС 372 суды установили, что общество (арендодатель) отвечает за технологические неисправности вагонов, компания (арендатор) – за эксплуатационные. На основании исследованных документов в отношении текущего отцепочного ремонта суды установили, что все вагоны подверглись таковому по причине технологических неисправностей. Ремонтопригодность снятых деталей, которая по мнению общества позволяла бы возложить обязанность несения расходов на их замену на компанию с получением ею в распоряжение смененных деталей, признана судами в силу представленных доказательств отсутствующей. При таких обстоятельствах судебные акты соответствуют договору и статьям 431, 15, 393 Гражданского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«Евросиб СПб-ТС»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