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19.02.2020 в удовлетворении иска отказано. Постановлением Восемнадцатого арбитражного апелляционного суда от 22.06.2020, оставленным без изменения постановлением Арбитражного суда Уральского округа от 16.10.2020, решение отменено, исковые требования удовлетворены. 2 В кассационной жалобе общество «ПКФ Газтехсервис» просит об отмене судебных актов апелляционного и окружного судов, ссылаясь на нарушение разумного срока заявления об очевидной при приемке некомплетности товара и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начало течения гарантийного срока на товар применительно к его назначению согласовано сторонами в договоре от 13.09.2013 № ЮО-68/13 и исходя из этого условия такой срок определили. Исчисленный на основании договора гарантийный срок и срок исковой давности суды признали не пропущенными в силу статей 470, 471, 476, 477, 196, 200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«ПКФ Газтехсервис»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