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09.12.2019 иск удовлетворен. Постановлением Тринадцатого арбитражного апелляционного суда от 11.06.2020, оставленным без изменения постановлением Арбитражного суда Северо-Западного округа от 14.10.2020, решение изменено, иск удовлетворен частично в связи с уменьшением неустойки. В кассационной жалобе общество «Строитель» просит об отмене судебных актов апелляционного и окружного судов, ссылаясь на их противоречие в определении подлежащей уплате неустойки в твердой сумме, а взыскании ее по день исполнения обязательства.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Несоразмерность как критерий для уменьшения неустойки может быть определена только в отношении определенной за состоявшуюся просрочку исполнения обязательства суммы неустойки. Длящаяся неустойка согласована сторонами в договоре и основания для уменьшения ее на будущий период неисполнения обязательства в силу статьи 333 Гражданского кодекса Российской Федерации, о применении которой завил ответчик,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