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Сосна Виктор Юрьевич обратился в суд с заявлением о признании недействительной сделкой договора уступки права требования (цессии) от 17.04.2019 № 05/УТ/19, заключенного между должником и обществом с ограниченной ответственностью «Инжиниринговый центр по газопоршневым технологиям», и применении последствий недействительности сделок. Определением Арбитражного суда города Москвы от 26.12.2020, оставленным без изменения постановлениями Девятого арбитражного апелляционного суда от 30.07.2020 и Арбитражного суда Московского округа от 20.10.2020, заявление удовлетворено, применены последствия недействительности сделки в виде восстановления задолженности общества «ОЭК» перед должником в размере 156 559 815 рублей 48 копеек.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 статьи 61.2 Федерального закона от 26.10.2002 № 127-ФЗ «О несостоятельности (банкротстве)», установив совершение сделки в пределах года до возбуждения производства по настоящему делу о банкротстве должника при наличии признаков несостоятельности последнего и отсутствии равноценного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Энергостроительная Корпорация»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