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решением Арбитражного суда Республики Башкортостан от 17.09.2020, в том числе отказано в удовлетворении заявления общества о признании недействительными решений собрания кредиторов должника от 22.05.2020. Постановлением Восемнадцатого арбитражного апелляционного суда от 23.11.2020 решение суда первой инстанции от 17.09.2020 в вышеуказанной части оставлено без изменения.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 общества, суд первой инстанции, руководствуясь положениями статьи 10 Гражданского кодекса Российской Федерации, статей 12 и 15 Федерального закона от 26.10.2002 № 127-ФЗ «О несостоятельности (банкротстве)», позицией, изложенной в пункте 3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26.12.2018, пришёл к выводу о том, что оспариваемыми решениями собрания кредиторов не нарушены права и законные интересы лиц, участвующих в настоящем деле о банкротстве должника, указав на недоказанность наличия злоупотребления правом при отмене решений собрания от 06.03.2020 последующим собранием от 22.05.2020. Вместе с тем, суд первой инстанции учёл доводы общества о заинтересованности лиц при определении кандидатуры арбитражного управляющего. Апелляционный суд согласился с выводами суда первой инстанции.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«Уфимское Транспортное Предприятие»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