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12.02.2021 направил в Верховный Суд Российской Федерации кассационную жалобу и одновременно заявил ходатайство о восстановлении пропущенного срока, ссылаясь на отсутствие большого количества сотрудников в связи с заболеванием коронавирусной инфекцией и резко возросшую нагрузку на остальных сотрудников.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2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 восстановлении пропущенного срока, судья не находит оснований для его удовлетворения. Процессуальный срок на подачу кассационной жалобы находится за пределами периода установленных Президентом Российской Федерации нерабочих дней. Ненадлежащая организация деятельности юридического лица является риском самого юридического лица, и все неблагоприятные последствия такой ненадлежащей организации своей деятельности несет само юридическое лицо. Как следует из постановления суда округа, заявитель являлся инициатором подачи кассационной жалобы, с учетом публикации постановления суда округа (06.12.2020) заявитель обладал информацией о состоявшихся судебных актах и имел значительный промежуток времени для подготовки и подачи соответствующей жалобы в предусмотренный законодательством срок. Лица, участвующие в деле, несут риск наступления последствий совершения или не 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федерального казенного учреждения «Управление автомобильной магистрали Ордена Ленина «Москва - Санкт- Петербург» Федерального дорожного агентства» о восстановлении пропущенного срока отказать, кассационную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