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«ИнвестСтрой» (далее – общество) обратилось в суд с заявлением о включении требования в размере 4 741 392 рублей 45 копеек в реестр требований кредиторов должника. Определением Арбитражного суда Новосибирской области от17.02.2020, оставленным без изменения постановлениями Седьмого арбитражного апелляционного суда от 21.08.2020 и Арбитражного суда Западно-Сибирского округа от 17.11.2020, требование признано обоснованным и отнесено в третью очередь удовлетворения.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общества с заявленными требованиями, пришли к выводу об их обоснованности и подтверждённости надлежащими доказательствами, что послужило основанием для включения требований в реестр требований кредиторов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«Строительная компания «Южкузбасстрой»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