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«Эксперт-Н» (далее – общество) обратилось в суд с заявлением о включении в реестр требований кредиторов должника требования в размере 285 000 рублей убытков, 680 266 рублей 55 копеек неустойки за просрочку погашения задолженности по коммунальным платежам за период с 01.04.2016 по 24.07.2018, 487 849 рублей 05 копеек неустойки за просрочку погашения задолженности по коммунальным платежам за период с 08.08.2017 по 04.05.2018, 146 374 рублей 71 копейки индексации присуждённых сумм. Определением Арбитражного суда Новосибирской области от 27.03.2020, оставленным без изменения постановлениями Седьмого арбитражного апелляционного суда от 13.07.2020 и Арбитражного суда Западно-Сибирского округа от 20.10.2020, требование в размере 285 000 рублей убытков и 90 286 рублей 33 копеек неустойки включено в третью очередь реестра, оставлено без рассмотрения заявление в части требования в размере 146 374 рублей 71 копейки,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 в части 2 удовлетворения заявления общества о включении в реестр требований в размере 285 000 рублей убытков, оставить указанное требование без рассмотрения или снизить размер убытков до 160 000 рублей.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 в обжалуемой части, суды, руководствуясь положениями статей 15 и 393 Гражданского кодекса Российской Федерации, статьи 100 Федерального закона от 26.10.2002 № 127-ФЗ «О несостоятельности (банкротстве)», исходили из доказанности причинно-следственной связи между действиями (бездействием) должника, связанными с неисполнением судебных решений, и возникновением на стороне общества убытков в размере 285 000 рублей.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должника Сафронову Юрию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