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заявлениями о разрешении разногласий об очередности удовлетворения требований Жукова Михаила Федоровича в размере 9 000 000 рублей – основная сумма долга, 2 077 456 рублей 08 копеек – процентов, и Жукова Руслана Михайловича в размере 16 416 000 рублей – основная сумма долга, 978 724 рубля 55 копеек – процентов. Определением Арбитражного суда Новосибирской области от 23.06.2020, оставленным без изменения постановлениями Седьмого арбитражного апелляционного суда от 31.08.2020 и Арбитражного суда Западно-Сибирского округа от 19.11.2020, отказано в удовлетворении заявлений.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 субординации требований указанных лиц.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статьи 16 Федерального закона от 26.10.2002 № 127-ФЗ «О несостоятельности (банкротстве)», позицией, изложенной в пункте 4 Обзора судебной практики разрешения споров, связанных с установлением в процедурах банкротства требований контролирующих должника и аффилированных с ним лиц, утвержденного Президиумом Верховного Суда Российской Федерации 29.01.2020, пришли к выводу о недоказанности наличия оснований для понижения очерёдности требований, указав, что действия общества по инициации настоящего обособленного спора по своей сути направлены на пересмотр итогов рассмотрения иных споров в рамках настоящего дела о банкротстве.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«Маэстро»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