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Марий Эл от 17.10.2019, оставленным без изменения постановлением Первого арбитражного апелляционного суда от 28.05.2020, в иске отказано. 2 Постановлением Арбитражного суда Волго-Вятского округа от 21.10.2020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434, 469, 474, 513, 525, 526 Гражданского кодекса Российской Федерации, статьи 94, 96 Федерального закона от 05.04.2013 № 44-ФЗ «О контрактной системе в сфере закупок товаров, работ, услуг для обеспечения государственных и муниципальных нужд», суды в иске отказали, признав, что общество не исполнило свои обязательства по поставке товара по контракту надлежащим образом, поставив товар ненадлежащего качества; перечисленные в качестве обеспечения исполнения контракта денежные средства возврату не подлежат. Доводы жалобы были предметом исследования судов и получили исчерпывающую правовую оценку, в том числе, с учетом установленного в контракте способа обеспечения, а также в отсутствие доказательств необоснованного превышения размера имеющихся у заказчика требований к поставщику, не согласиться с которыми оснований не имеется. С учетом доводов кассационной жалобы выводы судов не противоречат правовой позиции, изложенной в пункте 29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РФ 28.06.2017).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3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