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Московской области от 18.12.2019, оставленным без изменения постановлением Десятого арбитражного апелляционного суда от 07.07.2020, первоначальный иск удовлетворен, в удовлетворении встречного иска отказано. Постановлением Арбитражного суда Московского округа от 26.10.2020 указанные судебные акты отменены, дело направлено на новое рассмотрение в суд первой инстанции. Общество обратилось в Верховный Суд Российской Федерации с кассационной жалобой, в которой просит постановление суда округа отменить, считая его принятым с нарушением норм материального и процессуального права. При изучении изложенных в кассационной жалобе доводов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Суд округа отменил судебные акты судов первой и апелляционной инстанций и направил дело на новое рассмотрение, действуя в пределах полномочий, предоставленных ему статьей 287 Арбитражного процессуального кодекса Российской Федерации, по основаниям, предусмотренным статьей 288 названного Кодекса. При этом суд округа указал на необходимость судам определить круг обстоятельств, имеющих значение для разрешения спора и подлежащих исследованию, проверке и установлению по делу, и с их учетом принять обоснованное решение.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3 права и (или) норм процессуального права, повлиявших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Поскольку заявители в силу части 1 статьи 41 Арбитражного процессуального кодекса Российской Федерации не лишены возможности приводить свои доводы по всем возникающим в ходе рассмотрения дела вопросам, представлять доказательства, а также отстаивать свою позицию доступными процессуальными способами при новом рассмотрении дела, основания для передачи жалоб для рассмотрения в судебном заседании Судебной коллегии по экономическим спорам Верховного Суда Российской Федерации обжалуемого судебного акта в порядке кассационного производства отсутствуют. При указанных обстоятельствах доводы жалоб не являются достаточными в целях передачи жалоб для рассмотрения в судебном заседании Судебной коллегии по экономическим спорам Верховного Суда Российской Федерации. Учитывая изложенное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