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11.03.2020, оставленным без изменения постановлением Девятого арбитражного апелляционного суда от 05.08.2020, иск удовлетворен. 2 Постановлением Арбитражного суда Московского округа от 18.11.2020 указанные судебные акты оставлены без изменения. Ответчик обратился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309, 310, 762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удовлетворили иск, признав доказанным факт выполнения истцом предъявленных к оплате работ, принятых ответчиком без замечаний и возражений относительно качества и объема. Доводы жалобы были предметом исследования судов и получили исчерпывающую правовую оценку с учетом отсутствия в материалах дела доказательств, свидетельствующих о том, что положительное заключение экспертизы не получено в связи с обстоятельствами, ответственность за которые несет истец, не согласиться с которой оснований не имеется. Выводы судов соответствуют правовой позиции Президиума Высшего Арбитражного Суда Российской Федерации, изложенной в постановлении от 18.01.2011 № 11659/10.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