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«Ахорс» обратилось в Арбитражный суд Свердловской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«Элемент-Трейд» 19 000 148 рублей 91 копейки задолженности по договорам поставки от 01.05.2014 № 1п/90, от 01.01.2018 N 418/Н и 1 926 067 рублей 96 копеек процентов за пользование чужими денежными средствами. Решением Арбитражного суда Свердловской области от 13.07.2020 иск удовлетворен. Постановлением Семнадцатого арбитражного апелляционного суда от 27.10.2020 решение суда первой инстанции оставлено без изменения. Арбитражный суд Уральского округа постановлением от 21.12.2020 указанные судебные акты оставил без изменения. Общество с ограниченной ответственностью «Элемент-Трейд» обратилось в Судебную коллегию Верховного Суда Российской Федерации с 2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67, 68, 71 Арбитражного процессуального кодекса Российской Федерации, установив факт надлежащего исполнения истцом (поставщиком) обязательств по поставке товара и отсутствие доказательств его оплаты, а также отсутствие надлежащих доказательств, подтверждающих прекращение обязательства по оплате товара, руководствуясь положениями статей 309, 310, 395, 407, 410, 411, 486 Гражданского кодекса Российской Федерации, разъяснениями, изложенными в постановлении Пленума Верховного Суда Российской Федерации от 11.06.2020 № 6 «О некоторых вопросах применения положений Гражданского кодекса Российской Федерации о прекращении обязательств», суды пришли к выводу об обоснованности заявленных требований. Доводы, изложенные в жалобе, приводились при рассмотрении дела,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В связи с отсутствием оснований для рассмотрения ходатайства о приостановлении исполнения судебных актов, встречное обеспечение в размере 20 926 216 рублей 87 копеек подлежит возврату заявителю.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«Элемент-Трейд»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Арбитражному суду Свердловской области рассмотреть вопрос о возврате с депозитного счета суда встречного обеспечения в размере 20 926 216 рублей 87 копеек, перечисленного обществом с ограниченной ответственностью «Элемент-Трейд» по платежному поручению от 24.12.2020 № 289281.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