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муниципальное предприятие «Лыткаринская теплосеть» обратилось в Арбитражный суд Московской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«Винти» 11 521 389 рублей 68 копеек задолженности по оплате тепловой энергии по договорам от 01.07.2016 № 124, 125, 126, 127. Решением Арбитражного суда Московской области от 06.03.2020 иск удовлетворен. Постановлением Десятого арбитражного апелляционного суда от 28.07.2020 решение суда первой инстанции оставлено без изменения. Арбитражный суд Московского округа постановлением от 16.12.2020 указанные судебные акты оставил без изменения. Общество с ограниченной ответственностью «Винти» обратилось в Судебную коллегию Верховного Суда Российской Федерации с кассационной 2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поставки коммунального ресурса и отсутствие доказательств его оплаты, руководствуясь положениями статей 309, 310, 539, 541, 544, 548 Гражданского кодекса Российской Федерации, статей 156, 161 Жилищного кодекса Российской Федерации, суды пришли к выводу об обоснованности иска. Доводы, изложенные в кассационной жалобе, о поставке истцом некачественной тепловой энергии с превышением допустимых температур были рассмотрены судами и мотивированно отклонены.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«Винти»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