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24.03.2020, оставленным без изменения постановлением Восемнадцатого арбитражного апелляционного суда от 17.07.2020 и постановлением Арбитражного суда Уральского округа от 14.10.2020, иск удовлетворен. В кассационной жалобе компания просит о пересмотре судебных актов, ссылаясь на надлежащее оказание услуг и недостижение результата по объективной причине.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имевшейся к моменту заключения договора осведомленности компании о нахождении заказчика в реестре недобросовестных поставщиков последствия вступления в договорные отношения по поводу согласованного предмета и отсутствия предусмотренного договором результата правомерно возложены на компанию посредством обязания возвратить полученную сумму аванса в силу статьи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«Инвестиционная торгово-строительная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