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18.12.2019 исковые требования удовлетворены. Постановлением Девятого арбитражного апелляционного суда от 24.07.2020 решение суда первой инстанции изменено в части взыскания задолженности и процентов, с общества в пользу компании взыскано 31 607 руб. 94 коп. задолженности и 19 940 руб. 90 коп. процентов, в удовлетворении остальной части соответствующих требований отказано; в остальной части решение суда оставлено без изменения. Постановлением Арбитражного суда Московского округа от 15.10.2020 постановление суда апелляционной инстанции оставлено без изменения. 2 В кассационной жалобе, поданной в Верховный Суд Российской Федерации, общество, ссылаясь на неполное выяснение судами обстоятельств дела, просит отменить указанные судебные акты в части удовлетворения требования о расторжении договора аренды и направить дело в этой части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неисполнения обществом обязательств по оплате арендных платежей по спорному договору за период с 10.08.2018 по 08.07.2019, признав данные нарушения существенными, учитывая соблюдение компанией предусмотренного пунктом 2 статьи 452 Гражданского кодекса Российской Федерации претензионного порядка, руководствуясь статьями 450, 619 Гражданского кодекса Российской Федерации, суды первой и апелляционной инстанций пришли к выводу о наличии оснований для расторжения договора аренды, с чем впоследствии согласился суд округа. Доводы общества о несоблюдении компанией претензионного порядка были предметом рассмотрения судов апелляционной инстанции и округа и получили правовую оценку. Доводы кассационной жалобы не опровергают выводы судов,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«Зера»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