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16.03.2020, оставленным без изменения постановлением Седьмого арбитражного апелляционного суда от 03.07.2020, в удовлетворении иска отказано. Арбитражный суд Западно-Сибирского округа постановлением от 13.10.2020 решение от 16.03.2020 и постановление Седьмого арбитражного апелляционного суда от 03.07.2020 оставил без изменения. В кассационной жалобе общество «ТоргКом» просит об отмене судебных актов, ссылаясь на отсутствие между сторонами обязательств, предусматривающих неденежную форму расчетов.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Прекращение обязательств зачетом предусмотрено законом и реализация его не зависит от согласованного сторонами порядка осуществления расчетов. Установив у истца наличие встречного однородного неисполненного обязательства перед ответчиком, о зачете которого он заявил, суды признали прекращенным обязательства сторон в силу закона (статьи 410 Гражданского кодекса Российской Федерации).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«ТоргКом»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