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23.11.2019, оставленным без изменения постановлением Тринадцатого арбитражного апелляционного суда от 25.05.2020, иск удовлетворен. Арбитражный суд Северо-Западного округа постановлением от 13.10.2020 решение от 23.11.2019 и постановление Тринадцатого арбитражного апелляционного суда от 25.05.2020 оставил без изменения. В кассационной жалобе компания просит об отмене судебных актов, ссылаясь на поставку товара ненадлежащего качества и неосновательный ввод о непринятии товара.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наличие неоплаченной задолженности за поставленный товар, а также готовый к передаче, но невыбранный ответчиком товар и руководствуясь статьями 454, 510, 513, 514, 515 Гражданского кодекса Российской Федерации, правомерно удовлетворили иск. Доводы о качестве товара и невозможности получения не переданного товара тождественны доводам, заявленным в судах нижестоящих инстанций и получившим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«Северо-Западная Строительная Компания СПб»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