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11.02.2020, оставленным без изменения постановлением Восемнадцатого арбитражного апелляционного суда от 14.07.2020 и постановлением Арбитражного суда Уральского округа от 16.10.2020, с общества в пользу компании взыскано 40 000 руб. штрафа по договору от 02.03.2018 № БНИПИ/18/У/76/ПРЧ, 10 000 руб. штрафа по договору от 30.01.2019 № БНИПИ/19/У/54/ПРЧ,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руководствуясь статьями 307, 309, 310, 329, 330, 431, 779, 781 Гражданского кодекса Российской Федерации, разъяснениями, приведенными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обязательств по договорам, пришли к выводу о наличии оснований для взыскания с него штрафа и, снизив размер штрафа в порядке статьи 333 Гражданского кодекса Российской Федерации по ходатайству ответчика, частично удовлетворили требования компании.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«Левел Ап»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