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03.03.2020, оставленным без изменения постановлением Семнадцатого арбитражного апелляционного суда от 08.06.2020 и постановлением Арбитражного суда Уральского округа от 15.10.2020, в удовлетворении иска отказано в связи с истечением срока исковой давности, о применении которой заявил ответчик, а также недоказанностью перечисления спорной суммы в рамках контракта. В кассационной жалобе Нозоров З.Ф. просит об отмене судебных актов, ссылаясь на нарушение в оценке доказательств и ошибочный вывод о пропуске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спорная сумма не имеет отношения к контракту от 08.06.2016 № 01, во исполнение которого произведены поставка и расчет за нее, поэтому исчисление срока исковой давности по требованию о ее возврате исходя из согласованных в контракте сроков поставки не имеется. К моменту предъявления иска истек срок исковой давности на взыскание суммы денежного перевода от 19.08.2015 № 769131579, в связи с чем в иске отказано на основании пункта 2 статьи 199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Нозорову Зофору Камиловичу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